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A4892" w14:textId="7F9CA293" w:rsidR="007E5C45" w:rsidRPr="008F6EF3" w:rsidRDefault="00104458" w:rsidP="008F6EF3">
      <w:pPr>
        <w:jc w:val="center"/>
        <w:rPr>
          <w:b/>
          <w:bCs/>
          <w:lang w:val="en-US"/>
        </w:rPr>
      </w:pPr>
      <w:r w:rsidRPr="008F6EF3">
        <w:rPr>
          <w:b/>
          <w:bCs/>
          <w:lang w:val="en-US"/>
        </w:rPr>
        <w:t>Questions and Answers</w:t>
      </w:r>
    </w:p>
    <w:p w14:paraId="5F59F396" w14:textId="37FDBF30" w:rsidR="00104458" w:rsidRPr="008F6EF3" w:rsidRDefault="00104458" w:rsidP="008F6EF3">
      <w:pPr>
        <w:jc w:val="center"/>
        <w:rPr>
          <w:b/>
          <w:bCs/>
          <w:lang w:val="en-US"/>
        </w:rPr>
      </w:pPr>
      <w:r w:rsidRPr="008F6EF3">
        <w:rPr>
          <w:b/>
          <w:bCs/>
          <w:lang w:val="en-US"/>
        </w:rPr>
        <w:t>GCSE Health and Social Care and Childcare – Winter 2024</w:t>
      </w:r>
    </w:p>
    <w:p w14:paraId="17481950" w14:textId="064A68B4" w:rsidR="00B05ED8" w:rsidRPr="00B05ED8" w:rsidRDefault="00B05ED8">
      <w:pPr>
        <w:rPr>
          <w:b/>
          <w:bCs/>
          <w:lang w:val="en-US"/>
        </w:rPr>
      </w:pPr>
      <w:r w:rsidRPr="00B05ED8">
        <w:rPr>
          <w:b/>
          <w:bCs/>
          <w:lang w:val="en-US"/>
        </w:rPr>
        <w:t xml:space="preserve">Are Knowledge </w:t>
      </w:r>
      <w:proofErr w:type="spellStart"/>
      <w:r w:rsidRPr="00B05ED8">
        <w:rPr>
          <w:b/>
          <w:bCs/>
          <w:lang w:val="en-US"/>
        </w:rPr>
        <w:t>Organisers</w:t>
      </w:r>
      <w:proofErr w:type="spellEnd"/>
      <w:r w:rsidRPr="00B05ED8">
        <w:rPr>
          <w:b/>
          <w:bCs/>
          <w:lang w:val="en-US"/>
        </w:rPr>
        <w:t xml:space="preserve"> and textbooks available in Welsh as well as English?</w:t>
      </w:r>
    </w:p>
    <w:p w14:paraId="3C108C7F" w14:textId="7B77FCFE" w:rsidR="00B05ED8" w:rsidRDefault="00B05ED8">
      <w:pPr>
        <w:rPr>
          <w:lang w:val="en-US"/>
        </w:rPr>
      </w:pPr>
      <w:r>
        <w:rPr>
          <w:lang w:val="en-US"/>
        </w:rPr>
        <w:t xml:space="preserve">Yes, all resources produced by WJEC are available bi-lingually. Click on the tab at the top right of the page to switch from English to </w:t>
      </w:r>
      <w:proofErr w:type="spellStart"/>
      <w:r>
        <w:rPr>
          <w:lang w:val="en-US"/>
        </w:rPr>
        <w:t>Cymraeg</w:t>
      </w:r>
      <w:proofErr w:type="spellEnd"/>
      <w:r>
        <w:rPr>
          <w:lang w:val="en-US"/>
        </w:rPr>
        <w:t>. For books that are not written by WJEC, please contact the publisher about Welsh versions.</w:t>
      </w:r>
    </w:p>
    <w:p w14:paraId="09D29D3F" w14:textId="77777777" w:rsidR="00B05ED8" w:rsidRDefault="00B05ED8" w:rsidP="00B05ED8">
      <w:pPr>
        <w:rPr>
          <w:b/>
          <w:bCs/>
          <w:lang w:val="en-US"/>
        </w:rPr>
      </w:pPr>
      <w:r w:rsidRPr="00B05ED8">
        <w:rPr>
          <w:b/>
          <w:bCs/>
          <w:lang w:val="en-US"/>
        </w:rPr>
        <w:t>The links are QR codes in the textbooks are out of date</w:t>
      </w:r>
      <w:r>
        <w:rPr>
          <w:b/>
          <w:bCs/>
          <w:lang w:val="en-US"/>
        </w:rPr>
        <w:t>.</w:t>
      </w:r>
    </w:p>
    <w:p w14:paraId="62996405" w14:textId="292B7408" w:rsidR="008F6EF3" w:rsidRPr="008F6EF3" w:rsidRDefault="008F6EF3" w:rsidP="00B05ED8">
      <w:pPr>
        <w:rPr>
          <w:lang w:val="en-US"/>
        </w:rPr>
      </w:pPr>
      <w:r>
        <w:rPr>
          <w:lang w:val="en-US"/>
        </w:rPr>
        <w:t>For textbooks authored by WJEC, these will now be checked.</w:t>
      </w:r>
    </w:p>
    <w:p w14:paraId="4FF686AA" w14:textId="7DAF38A0" w:rsidR="00506F12" w:rsidRDefault="00506F12" w:rsidP="00B05ED8">
      <w:pPr>
        <w:rPr>
          <w:b/>
          <w:bCs/>
          <w:lang w:val="en-US"/>
        </w:rPr>
      </w:pPr>
      <w:r>
        <w:rPr>
          <w:b/>
          <w:bCs/>
          <w:lang w:val="en-US"/>
        </w:rPr>
        <w:t>Is the course changing in 2025?</w:t>
      </w:r>
    </w:p>
    <w:p w14:paraId="191BD4D3" w14:textId="58425EC9" w:rsidR="0086723E" w:rsidRPr="0086723E" w:rsidRDefault="0086723E" w:rsidP="00B05ED8">
      <w:pPr>
        <w:rPr>
          <w:lang w:val="en-US"/>
        </w:rPr>
      </w:pPr>
      <w:r>
        <w:rPr>
          <w:lang w:val="en-US"/>
        </w:rPr>
        <w:t xml:space="preserve">No, not </w:t>
      </w:r>
      <w:r w:rsidR="008F6EF3">
        <w:rPr>
          <w:lang w:val="en-US"/>
        </w:rPr>
        <w:t>yet. A new specification will be written in 2025 for first</w:t>
      </w:r>
      <w:r>
        <w:rPr>
          <w:lang w:val="en-US"/>
        </w:rPr>
        <w:t xml:space="preserve"> teaching </w:t>
      </w:r>
      <w:r w:rsidR="008F6EF3">
        <w:rPr>
          <w:lang w:val="en-US"/>
        </w:rPr>
        <w:t xml:space="preserve">in </w:t>
      </w:r>
      <w:r w:rsidR="0089431B">
        <w:rPr>
          <w:lang w:val="en-US"/>
        </w:rPr>
        <w:t xml:space="preserve">September </w:t>
      </w:r>
      <w:r>
        <w:rPr>
          <w:lang w:val="en-US"/>
        </w:rPr>
        <w:t>2026</w:t>
      </w:r>
      <w:r w:rsidR="008F6EF3">
        <w:rPr>
          <w:lang w:val="en-US"/>
        </w:rPr>
        <w:t xml:space="preserve">. Professional Learning events for teachers will be held in </w:t>
      </w:r>
      <w:r>
        <w:rPr>
          <w:lang w:val="en-US"/>
        </w:rPr>
        <w:t>January 2026</w:t>
      </w:r>
      <w:r w:rsidR="008F6EF3">
        <w:rPr>
          <w:lang w:val="en-US"/>
        </w:rPr>
        <w:t xml:space="preserve"> to introduce the new specification</w:t>
      </w:r>
      <w:r>
        <w:rPr>
          <w:lang w:val="en-US"/>
        </w:rPr>
        <w:t>.</w:t>
      </w:r>
    </w:p>
    <w:p w14:paraId="67E2FB61" w14:textId="77777777" w:rsidR="00B05ED8" w:rsidRDefault="00B05ED8">
      <w:pPr>
        <w:rPr>
          <w:lang w:val="en-US"/>
        </w:rPr>
      </w:pPr>
    </w:p>
    <w:p w14:paraId="124812C8" w14:textId="4CADF025" w:rsidR="00B05ED8" w:rsidRDefault="00B05ED8">
      <w:pPr>
        <w:rPr>
          <w:b/>
          <w:bCs/>
          <w:lang w:val="en-US"/>
        </w:rPr>
      </w:pPr>
      <w:r>
        <w:rPr>
          <w:b/>
          <w:bCs/>
          <w:lang w:val="en-US"/>
        </w:rPr>
        <w:t>Unit 1</w:t>
      </w:r>
    </w:p>
    <w:p w14:paraId="107A635F" w14:textId="3964236C" w:rsidR="003D5C5D" w:rsidRDefault="003D5C5D">
      <w:pPr>
        <w:rPr>
          <w:b/>
          <w:bCs/>
          <w:lang w:val="en-US"/>
        </w:rPr>
      </w:pPr>
      <w:r>
        <w:rPr>
          <w:b/>
          <w:bCs/>
          <w:lang w:val="en-US"/>
        </w:rPr>
        <w:t>Can candidates sit Unit 1 in Year 10 and re</w:t>
      </w:r>
      <w:r w:rsidR="00251F76">
        <w:rPr>
          <w:b/>
          <w:bCs/>
          <w:lang w:val="en-US"/>
        </w:rPr>
        <w:t>-</w:t>
      </w:r>
      <w:r>
        <w:rPr>
          <w:b/>
          <w:bCs/>
          <w:lang w:val="en-US"/>
        </w:rPr>
        <w:t>sit in Year 11?</w:t>
      </w:r>
    </w:p>
    <w:p w14:paraId="30EAB0DE" w14:textId="51AFCADD" w:rsidR="003D5C5D" w:rsidRDefault="003D5C5D">
      <w:pPr>
        <w:rPr>
          <w:lang w:val="en-US"/>
        </w:rPr>
      </w:pPr>
      <w:r>
        <w:rPr>
          <w:lang w:val="en-US"/>
        </w:rPr>
        <w:t>Yes, candidates can sit the Unit 1 exam in Year 10 and re</w:t>
      </w:r>
      <w:r w:rsidR="00251F76">
        <w:rPr>
          <w:lang w:val="en-US"/>
        </w:rPr>
        <w:t>-</w:t>
      </w:r>
      <w:r>
        <w:rPr>
          <w:lang w:val="en-US"/>
        </w:rPr>
        <w:t>sit in Year 11, their best grade will count.</w:t>
      </w:r>
    </w:p>
    <w:p w14:paraId="21AEE67A" w14:textId="2146D839" w:rsidR="003D5C5D" w:rsidRDefault="003D5C5D">
      <w:pPr>
        <w:rPr>
          <w:b/>
          <w:bCs/>
          <w:lang w:val="en-US"/>
        </w:rPr>
      </w:pPr>
      <w:r w:rsidRPr="003D5C5D">
        <w:rPr>
          <w:b/>
          <w:bCs/>
          <w:lang w:val="en-US"/>
        </w:rPr>
        <w:t xml:space="preserve">Are there more resources relating </w:t>
      </w:r>
      <w:r>
        <w:rPr>
          <w:b/>
          <w:bCs/>
          <w:lang w:val="en-US"/>
        </w:rPr>
        <w:t xml:space="preserve">specifically </w:t>
      </w:r>
      <w:r w:rsidRPr="003D5C5D">
        <w:rPr>
          <w:b/>
          <w:bCs/>
          <w:lang w:val="en-US"/>
        </w:rPr>
        <w:t>to Active Offer?</w:t>
      </w:r>
    </w:p>
    <w:p w14:paraId="09C29FD2" w14:textId="7B7C2D67" w:rsidR="00E47272" w:rsidRPr="00E47272" w:rsidRDefault="00E47272">
      <w:pPr>
        <w:rPr>
          <w:lang w:val="en-US"/>
        </w:rPr>
      </w:pPr>
      <w:r w:rsidRPr="00E47272">
        <w:rPr>
          <w:lang w:val="en-US"/>
        </w:rPr>
        <w:t>Below are links to 3 resources on Active Offer from WJEC, WeCare Wales and Social Care Wales:</w:t>
      </w:r>
    </w:p>
    <w:p w14:paraId="701F2E49" w14:textId="01724FF9" w:rsidR="00E47272" w:rsidRDefault="00000000">
      <w:pPr>
        <w:rPr>
          <w:lang w:val="en-US"/>
        </w:rPr>
      </w:pPr>
      <w:hyperlink r:id="rId4" w:history="1">
        <w:r w:rsidR="00E47272">
          <w:rPr>
            <w:rStyle w:val="Hyperlink"/>
          </w:rPr>
          <w:t>The Active Offer | The importance of Welsh language and culture for children and young people (wjec.co.uk)</w:t>
        </w:r>
      </w:hyperlink>
    </w:p>
    <w:p w14:paraId="5FDB2C44" w14:textId="435BBF42" w:rsidR="00E47272" w:rsidRDefault="00000000">
      <w:pPr>
        <w:rPr>
          <w:lang w:val="en-US"/>
        </w:rPr>
      </w:pPr>
      <w:hyperlink r:id="rId5" w:anchor=":~:text=Provide%20an%20%27Active%20offer%27%3F,dignity%20and%20respect%20being%20compromised." w:history="1">
        <w:r w:rsidR="00E47272">
          <w:rPr>
            <w:rStyle w:val="Hyperlink"/>
          </w:rPr>
          <w:t>More than just words - WeCare</w:t>
        </w:r>
      </w:hyperlink>
    </w:p>
    <w:p w14:paraId="238F830D" w14:textId="42061A36" w:rsidR="00E47272" w:rsidRDefault="00000000">
      <w:pPr>
        <w:rPr>
          <w:lang w:val="en-US"/>
        </w:rPr>
      </w:pPr>
      <w:hyperlink r:id="rId6" w:anchor=":~:text=The%20%27active%20offer%27%20means%20that,through%20the%20medium%20of%20Welsh." w:history="1">
        <w:r w:rsidR="00E47272">
          <w:rPr>
            <w:rStyle w:val="Hyperlink"/>
          </w:rPr>
          <w:t>Understanding language needs | Social Care Wales</w:t>
        </w:r>
      </w:hyperlink>
    </w:p>
    <w:p w14:paraId="1671743D" w14:textId="2CBF120D" w:rsidR="00506F12" w:rsidRDefault="00506F12">
      <w:pPr>
        <w:rPr>
          <w:b/>
          <w:bCs/>
          <w:lang w:val="en-US"/>
        </w:rPr>
      </w:pPr>
      <w:r w:rsidRPr="00C75409">
        <w:rPr>
          <w:b/>
          <w:bCs/>
          <w:lang w:val="en-US"/>
        </w:rPr>
        <w:t>What detail does a top mark answer need to have?</w:t>
      </w:r>
    </w:p>
    <w:p w14:paraId="0F9745A4" w14:textId="1B33FFA1" w:rsidR="00815177" w:rsidRPr="00815177" w:rsidRDefault="00815177">
      <w:pPr>
        <w:rPr>
          <w:lang w:val="en-US"/>
        </w:rPr>
      </w:pPr>
      <w:r>
        <w:rPr>
          <w:lang w:val="en-US"/>
        </w:rPr>
        <w:t xml:space="preserve">This depends on the question although a candidate achieving a top mark would write a detailed </w:t>
      </w:r>
      <w:r w:rsidR="0089431B">
        <w:rPr>
          <w:lang w:val="en-US"/>
        </w:rPr>
        <w:t>answer</w:t>
      </w:r>
      <w:r>
        <w:rPr>
          <w:lang w:val="en-US"/>
        </w:rPr>
        <w:t>, giving examples to demonstrate excellent understanding. Examples of candidates’ work where top marks have been achieved will be developed as a resource.</w:t>
      </w:r>
    </w:p>
    <w:p w14:paraId="5DC92931" w14:textId="2934CDF9" w:rsidR="00C75409" w:rsidRDefault="00C75409">
      <w:pPr>
        <w:rPr>
          <w:b/>
          <w:bCs/>
          <w:lang w:val="en-US"/>
        </w:rPr>
      </w:pPr>
      <w:r>
        <w:rPr>
          <w:b/>
          <w:bCs/>
          <w:lang w:val="en-US"/>
        </w:rPr>
        <w:t>Why is a question with only one command word assessed for A01 and A03?</w:t>
      </w:r>
    </w:p>
    <w:p w14:paraId="3330FC43" w14:textId="3C2A73EE" w:rsidR="00C75409" w:rsidRPr="00C75409" w:rsidRDefault="00C75409">
      <w:pPr>
        <w:rPr>
          <w:lang w:val="en-US"/>
        </w:rPr>
      </w:pPr>
      <w:r w:rsidRPr="00C75409">
        <w:rPr>
          <w:lang w:val="en-US"/>
        </w:rPr>
        <w:t>If a</w:t>
      </w:r>
      <w:r>
        <w:rPr>
          <w:lang w:val="en-US"/>
        </w:rPr>
        <w:t xml:space="preserve"> question, such as the question 9 </w:t>
      </w:r>
      <w:r w:rsidR="00815177">
        <w:rPr>
          <w:lang w:val="en-US"/>
        </w:rPr>
        <w:t xml:space="preserve">example </w:t>
      </w:r>
      <w:r>
        <w:rPr>
          <w:lang w:val="en-US"/>
        </w:rPr>
        <w:t>in the presentation, asks candidates to ‘</w:t>
      </w:r>
      <w:proofErr w:type="spellStart"/>
      <w:r>
        <w:rPr>
          <w:lang w:val="en-US"/>
        </w:rPr>
        <w:t>analyse</w:t>
      </w:r>
      <w:proofErr w:type="spellEnd"/>
      <w:r w:rsidR="00815177">
        <w:rPr>
          <w:lang w:val="en-US"/>
        </w:rPr>
        <w:t xml:space="preserve"> the benefits’, candidates would be assessed on their ability to ‘describe’ benefits as well as ‘</w:t>
      </w:r>
      <w:proofErr w:type="spellStart"/>
      <w:r w:rsidR="00815177">
        <w:rPr>
          <w:lang w:val="en-US"/>
        </w:rPr>
        <w:t>analyse</w:t>
      </w:r>
      <w:proofErr w:type="spellEnd"/>
      <w:r w:rsidR="00815177">
        <w:rPr>
          <w:lang w:val="en-US"/>
        </w:rPr>
        <w:t>’. This is to allow less able candidates to achieve marks.</w:t>
      </w:r>
    </w:p>
    <w:p w14:paraId="5A074284" w14:textId="77777777" w:rsidR="00B05ED8" w:rsidRDefault="00B05ED8">
      <w:pPr>
        <w:rPr>
          <w:b/>
          <w:bCs/>
          <w:lang w:val="en-US"/>
        </w:rPr>
      </w:pPr>
    </w:p>
    <w:p w14:paraId="72AF48B9" w14:textId="77777777" w:rsidR="0089431B" w:rsidRDefault="0089431B">
      <w:pPr>
        <w:rPr>
          <w:b/>
          <w:bCs/>
          <w:lang w:val="en-US"/>
        </w:rPr>
      </w:pPr>
    </w:p>
    <w:p w14:paraId="2D7EE96A" w14:textId="77777777" w:rsidR="0089431B" w:rsidRDefault="0089431B">
      <w:pPr>
        <w:rPr>
          <w:b/>
          <w:bCs/>
          <w:lang w:val="en-US"/>
        </w:rPr>
      </w:pPr>
    </w:p>
    <w:p w14:paraId="775C24B0" w14:textId="77777777" w:rsidR="0089431B" w:rsidRDefault="0089431B">
      <w:pPr>
        <w:rPr>
          <w:b/>
          <w:bCs/>
          <w:lang w:val="en-US"/>
        </w:rPr>
      </w:pPr>
    </w:p>
    <w:p w14:paraId="5D3814B1" w14:textId="69FD4635" w:rsidR="00B05ED8" w:rsidRDefault="00B05ED8">
      <w:pPr>
        <w:rPr>
          <w:b/>
          <w:bCs/>
          <w:lang w:val="en-US"/>
        </w:rPr>
      </w:pPr>
      <w:r w:rsidRPr="00B05ED8">
        <w:rPr>
          <w:b/>
          <w:bCs/>
          <w:lang w:val="en-US"/>
        </w:rPr>
        <w:lastRenderedPageBreak/>
        <w:t>Unit 2</w:t>
      </w:r>
    </w:p>
    <w:p w14:paraId="7CD1AB11" w14:textId="303F4BDE" w:rsidR="00B05ED8" w:rsidRDefault="00B05ED8">
      <w:pPr>
        <w:rPr>
          <w:b/>
          <w:bCs/>
          <w:lang w:val="en-US"/>
        </w:rPr>
      </w:pPr>
      <w:r>
        <w:rPr>
          <w:b/>
          <w:bCs/>
          <w:lang w:val="en-US"/>
        </w:rPr>
        <w:t>What are the NEA conditions for completing this task?</w:t>
      </w:r>
    </w:p>
    <w:p w14:paraId="6E68F30B" w14:textId="5C260C0E" w:rsidR="00251F76" w:rsidRPr="00251F76" w:rsidRDefault="00251F76">
      <w:pPr>
        <w:rPr>
          <w:lang w:val="en-US"/>
        </w:rPr>
      </w:pPr>
      <w:r>
        <w:rPr>
          <w:lang w:val="en-US"/>
        </w:rPr>
        <w:t xml:space="preserve">Task 1 should be allocated 10 hours of work </w:t>
      </w:r>
      <w:r w:rsidR="00DD3131">
        <w:rPr>
          <w:lang w:val="en-US"/>
        </w:rPr>
        <w:t>and</w:t>
      </w:r>
      <w:r>
        <w:rPr>
          <w:lang w:val="en-US"/>
        </w:rPr>
        <w:t xml:space="preserve"> Task 2 should be allocated 15 hours of work</w:t>
      </w:r>
      <w:r w:rsidR="00DD3131">
        <w:rPr>
          <w:lang w:val="en-US"/>
        </w:rPr>
        <w:t>, both</w:t>
      </w:r>
      <w:r>
        <w:rPr>
          <w:lang w:val="en-US"/>
        </w:rPr>
        <w:t xml:space="preserve"> under direct supervision. Investigation work for these tasks does not form part of the time allocations and does not require direct supervision. There is no word limit for either task. </w:t>
      </w:r>
      <w:r w:rsidR="00DD3131">
        <w:rPr>
          <w:lang w:val="en-US"/>
        </w:rPr>
        <w:t>Candidates must not work together on the tasks.</w:t>
      </w:r>
    </w:p>
    <w:p w14:paraId="4484353C" w14:textId="24D414D6" w:rsidR="00506F12" w:rsidRDefault="00506F12">
      <w:pPr>
        <w:rPr>
          <w:b/>
          <w:bCs/>
          <w:lang w:val="en-US"/>
        </w:rPr>
      </w:pPr>
      <w:r>
        <w:rPr>
          <w:b/>
          <w:bCs/>
          <w:lang w:val="en-US"/>
        </w:rPr>
        <w:t xml:space="preserve">Task 1: can candidates choose children, </w:t>
      </w:r>
      <w:proofErr w:type="gramStart"/>
      <w:r>
        <w:rPr>
          <w:b/>
          <w:bCs/>
          <w:lang w:val="en-US"/>
        </w:rPr>
        <w:t>adolescents</w:t>
      </w:r>
      <w:proofErr w:type="gramEnd"/>
      <w:r>
        <w:rPr>
          <w:b/>
          <w:bCs/>
          <w:lang w:val="en-US"/>
        </w:rPr>
        <w:t xml:space="preserve"> or adults in general, or do they need to be more specific, e.g. an autistic child?</w:t>
      </w:r>
    </w:p>
    <w:p w14:paraId="0DEC38C3" w14:textId="16BB2F69" w:rsidR="00DD3131" w:rsidRPr="00DD3131" w:rsidRDefault="00DD3131">
      <w:pPr>
        <w:rPr>
          <w:lang w:val="en-US"/>
        </w:rPr>
      </w:pPr>
      <w:r w:rsidRPr="00DD3131">
        <w:rPr>
          <w:lang w:val="en-US"/>
        </w:rPr>
        <w:t xml:space="preserve">Candidates should choose generically between children, </w:t>
      </w:r>
      <w:proofErr w:type="gramStart"/>
      <w:r w:rsidRPr="00DD3131">
        <w:rPr>
          <w:lang w:val="en-US"/>
        </w:rPr>
        <w:t>adolescents</w:t>
      </w:r>
      <w:proofErr w:type="gramEnd"/>
      <w:r w:rsidRPr="00DD3131">
        <w:rPr>
          <w:lang w:val="en-US"/>
        </w:rPr>
        <w:t xml:space="preserve"> or adults for their target group.</w:t>
      </w:r>
    </w:p>
    <w:p w14:paraId="0D734641" w14:textId="26168672" w:rsidR="00506F12" w:rsidRDefault="00506F12">
      <w:pPr>
        <w:rPr>
          <w:b/>
          <w:bCs/>
          <w:lang w:val="en-US"/>
        </w:rPr>
      </w:pPr>
      <w:r>
        <w:rPr>
          <w:b/>
          <w:bCs/>
          <w:lang w:val="en-US"/>
        </w:rPr>
        <w:t>Task 1: how many services do candidates need to discuss to access the higher mark bands?</w:t>
      </w:r>
    </w:p>
    <w:p w14:paraId="406C6BDC" w14:textId="18B60F55" w:rsidR="00506F12" w:rsidRPr="00DD3131" w:rsidRDefault="00DD3131">
      <w:pPr>
        <w:rPr>
          <w:lang w:val="en-US"/>
        </w:rPr>
      </w:pPr>
      <w:r>
        <w:rPr>
          <w:lang w:val="en-US"/>
        </w:rPr>
        <w:t xml:space="preserve">Although there is not a definitive number of services required to access the higher mark bands, candidates should investigate services across the range of sectors – statutory, </w:t>
      </w:r>
      <w:proofErr w:type="gramStart"/>
      <w:r>
        <w:rPr>
          <w:lang w:val="en-US"/>
        </w:rPr>
        <w:t>private</w:t>
      </w:r>
      <w:proofErr w:type="gramEnd"/>
      <w:r>
        <w:rPr>
          <w:lang w:val="en-US"/>
        </w:rPr>
        <w:t xml:space="preserve"> and voluntary, </w:t>
      </w:r>
      <w:r w:rsidR="00882589">
        <w:rPr>
          <w:lang w:val="en-US"/>
        </w:rPr>
        <w:t>clearly discussing their role in relation to the target group and how they are regulated. Restricting this section to two or three services may not give candidates the opportunity to demonstrate detailed research into local and national services.</w:t>
      </w:r>
    </w:p>
    <w:p w14:paraId="61549963" w14:textId="2DBDFB27" w:rsidR="00B05ED8" w:rsidRDefault="00882589">
      <w:pPr>
        <w:rPr>
          <w:b/>
          <w:bCs/>
          <w:lang w:val="en-US"/>
        </w:rPr>
      </w:pPr>
      <w:r>
        <w:rPr>
          <w:b/>
          <w:bCs/>
          <w:lang w:val="en-US"/>
        </w:rPr>
        <w:t>Task 2: s</w:t>
      </w:r>
      <w:r w:rsidR="00B05ED8">
        <w:rPr>
          <w:b/>
          <w:bCs/>
          <w:lang w:val="en-US"/>
        </w:rPr>
        <w:t xml:space="preserve">hould materials be linked to the target group or the topic in section </w:t>
      </w:r>
      <w:r>
        <w:rPr>
          <w:b/>
          <w:bCs/>
          <w:lang w:val="en-US"/>
        </w:rPr>
        <w:t xml:space="preserve">(c) </w:t>
      </w:r>
      <w:r w:rsidR="00B05ED8">
        <w:rPr>
          <w:b/>
          <w:bCs/>
          <w:lang w:val="en-US"/>
        </w:rPr>
        <w:t>of the NEA?</w:t>
      </w:r>
    </w:p>
    <w:p w14:paraId="256FC16C" w14:textId="6C9E3E7E" w:rsidR="00882589" w:rsidRPr="00882589" w:rsidRDefault="00882589">
      <w:pPr>
        <w:rPr>
          <w:lang w:val="en-US"/>
        </w:rPr>
      </w:pPr>
      <w:r>
        <w:rPr>
          <w:lang w:val="en-US"/>
        </w:rPr>
        <w:t xml:space="preserve">For section (c), candidates should assess health promotion materials in terms of their suitability for the target group, for example, is the anti-smoking campaign on television effective in changing the behavior of teenagers if they rarely watch </w:t>
      </w:r>
      <w:r w:rsidR="0089431B">
        <w:rPr>
          <w:lang w:val="en-US"/>
        </w:rPr>
        <w:t>TV or</w:t>
      </w:r>
      <w:r>
        <w:rPr>
          <w:lang w:val="en-US"/>
        </w:rPr>
        <w:t xml:space="preserve"> do the shocking images of the effects of smoking </w:t>
      </w:r>
      <w:r w:rsidR="0089431B">
        <w:rPr>
          <w:lang w:val="en-US"/>
        </w:rPr>
        <w:t>influence teenagers to stop smoking</w:t>
      </w:r>
      <w:r w:rsidR="00E1701C">
        <w:rPr>
          <w:lang w:val="en-US"/>
        </w:rPr>
        <w:t>?</w:t>
      </w:r>
    </w:p>
    <w:p w14:paraId="1B749D16" w14:textId="3D52BC74" w:rsidR="00B05ED8" w:rsidRDefault="00B05ED8">
      <w:pPr>
        <w:rPr>
          <w:b/>
          <w:bCs/>
          <w:lang w:val="en-US"/>
        </w:rPr>
      </w:pPr>
      <w:r>
        <w:rPr>
          <w:b/>
          <w:bCs/>
          <w:lang w:val="en-US"/>
        </w:rPr>
        <w:t>Where can I find examples of Task 1 and Task 2 on the website?</w:t>
      </w:r>
    </w:p>
    <w:p w14:paraId="225CEEA2" w14:textId="28D2CC08" w:rsidR="0084273F" w:rsidRDefault="0084273F" w:rsidP="0084273F">
      <w:pPr>
        <w:rPr>
          <w:lang w:val="en-US"/>
        </w:rPr>
      </w:pPr>
      <w:r w:rsidRPr="0084273F">
        <w:rPr>
          <w:lang w:val="en-US"/>
        </w:rPr>
        <w:t>There is a</w:t>
      </w:r>
      <w:r>
        <w:rPr>
          <w:lang w:val="en-US"/>
        </w:rPr>
        <w:t>n A* example of Unit 2 Task 1 and two examples of Unit 2 Task 2 on the portal (secure website). Further resources are currently being updated, to include additional exemplar material for Unit 2.</w:t>
      </w:r>
    </w:p>
    <w:p w14:paraId="73045514" w14:textId="6A49C6CF" w:rsidR="0022645B" w:rsidRDefault="00506F12">
      <w:pPr>
        <w:rPr>
          <w:b/>
          <w:bCs/>
          <w:lang w:val="en-US"/>
        </w:rPr>
      </w:pPr>
      <w:r>
        <w:rPr>
          <w:b/>
          <w:bCs/>
          <w:lang w:val="en-US"/>
        </w:rPr>
        <w:t>Where can I find resources on regulation and inspecti</w:t>
      </w:r>
      <w:r w:rsidR="0022645B">
        <w:rPr>
          <w:b/>
          <w:bCs/>
          <w:lang w:val="en-US"/>
        </w:rPr>
        <w:t>on?</w:t>
      </w:r>
    </w:p>
    <w:p w14:paraId="55DB2E10" w14:textId="0D9C0B71" w:rsidR="0022645B" w:rsidRPr="0022645B" w:rsidRDefault="0022645B">
      <w:pPr>
        <w:rPr>
          <w:lang w:val="en-US"/>
        </w:rPr>
      </w:pPr>
      <w:r w:rsidRPr="0022645B">
        <w:rPr>
          <w:lang w:val="en-US"/>
        </w:rPr>
        <w:t>The links below have a good range of resources on regulation and inspection.</w:t>
      </w:r>
      <w:r>
        <w:rPr>
          <w:lang w:val="en-US"/>
        </w:rPr>
        <w:t xml:space="preserve"> There is further guidance in the Guidance for Teaching on the </w:t>
      </w:r>
      <w:r w:rsidR="0078693B">
        <w:rPr>
          <w:lang w:val="en-US"/>
        </w:rPr>
        <w:t>Health and Care Learning Wales website, under Unit 2 and on page 20 of the specification.</w:t>
      </w:r>
    </w:p>
    <w:p w14:paraId="5AAC6874" w14:textId="70930E1C" w:rsidR="0022645B" w:rsidRDefault="00000000">
      <w:hyperlink r:id="rId7" w:history="1">
        <w:r w:rsidR="0022645B">
          <w:rPr>
            <w:rStyle w:val="Hyperlink"/>
          </w:rPr>
          <w:t>Search | Social Care Wales</w:t>
        </w:r>
      </w:hyperlink>
    </w:p>
    <w:p w14:paraId="24749050" w14:textId="1FD29527" w:rsidR="0022645B" w:rsidRPr="00B05ED8" w:rsidRDefault="00000000">
      <w:pPr>
        <w:rPr>
          <w:b/>
          <w:bCs/>
          <w:lang w:val="en-US"/>
        </w:rPr>
      </w:pPr>
      <w:hyperlink r:id="rId8" w:history="1">
        <w:r w:rsidR="0022645B">
          <w:rPr>
            <w:rStyle w:val="Hyperlink"/>
          </w:rPr>
          <w:t>You searched for inspection - WeCare</w:t>
        </w:r>
      </w:hyperlink>
    </w:p>
    <w:p w14:paraId="3BC907F6" w14:textId="0F9EF93C" w:rsidR="00506F12" w:rsidRDefault="00506F12">
      <w:pPr>
        <w:rPr>
          <w:b/>
          <w:bCs/>
          <w:lang w:val="en-US"/>
        </w:rPr>
      </w:pPr>
      <w:r w:rsidRPr="00506F12">
        <w:rPr>
          <w:b/>
          <w:bCs/>
          <w:lang w:val="en-US"/>
        </w:rPr>
        <w:t>How many resources do candidates need to create? Is a PowerPoint and a poster enough?</w:t>
      </w:r>
    </w:p>
    <w:p w14:paraId="7443E1D3" w14:textId="5F046400" w:rsidR="0078693B" w:rsidRPr="0078693B" w:rsidRDefault="0078693B">
      <w:pPr>
        <w:rPr>
          <w:lang w:val="en-US"/>
        </w:rPr>
      </w:pPr>
      <w:r>
        <w:rPr>
          <w:lang w:val="en-US"/>
        </w:rPr>
        <w:t>Candidates should produce resources that are appropriate for their chosen campaign, there is no definitive number, however their resources should be good quality, accurate and fit for purpose bearing in mind their chosen target group.</w:t>
      </w:r>
    </w:p>
    <w:p w14:paraId="11E9A44A" w14:textId="700E6A05" w:rsidR="00B05ED8" w:rsidRDefault="00B05ED8">
      <w:pPr>
        <w:rPr>
          <w:b/>
          <w:bCs/>
          <w:lang w:val="en-US"/>
        </w:rPr>
      </w:pPr>
      <w:r w:rsidRPr="00B05ED8">
        <w:rPr>
          <w:b/>
          <w:bCs/>
          <w:lang w:val="en-US"/>
        </w:rPr>
        <w:t xml:space="preserve">Is there an official </w:t>
      </w:r>
      <w:r w:rsidRPr="00285921">
        <w:rPr>
          <w:b/>
          <w:bCs/>
          <w:lang w:val="en-US"/>
        </w:rPr>
        <w:t>witness statement</w:t>
      </w:r>
      <w:r w:rsidRPr="00B05ED8">
        <w:rPr>
          <w:b/>
          <w:bCs/>
          <w:lang w:val="en-US"/>
        </w:rPr>
        <w:t xml:space="preserve"> form to complete for section (d) of Task 2?</w:t>
      </w:r>
    </w:p>
    <w:p w14:paraId="7C8A3EE9" w14:textId="3C45862A" w:rsidR="00285921" w:rsidRPr="00285921" w:rsidRDefault="00285921">
      <w:pPr>
        <w:rPr>
          <w:lang w:val="en-US"/>
        </w:rPr>
      </w:pPr>
      <w:r>
        <w:rPr>
          <w:lang w:val="en-US"/>
        </w:rPr>
        <w:t>A witness statement template is currently being developed. In the meantime, centres should include a written statement to confirm that candidates have presented/carried out their health promotion campaign, together with visual evidence of materials produced.</w:t>
      </w:r>
    </w:p>
    <w:p w14:paraId="323F2867" w14:textId="77777777" w:rsidR="003D5C5D" w:rsidRPr="00B05ED8" w:rsidRDefault="003D5C5D">
      <w:pPr>
        <w:rPr>
          <w:b/>
          <w:bCs/>
          <w:lang w:val="en-US"/>
        </w:rPr>
      </w:pPr>
    </w:p>
    <w:p w14:paraId="2B0EFA61" w14:textId="77777777" w:rsidR="00B05ED8" w:rsidRDefault="00B05ED8">
      <w:pPr>
        <w:rPr>
          <w:lang w:val="en-US"/>
        </w:rPr>
      </w:pPr>
    </w:p>
    <w:sectPr w:rsidR="00B05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58"/>
    <w:rsid w:val="00104458"/>
    <w:rsid w:val="0022645B"/>
    <w:rsid w:val="00251F76"/>
    <w:rsid w:val="00285921"/>
    <w:rsid w:val="003D5C5D"/>
    <w:rsid w:val="00506F12"/>
    <w:rsid w:val="005473EA"/>
    <w:rsid w:val="0078693B"/>
    <w:rsid w:val="007E5C45"/>
    <w:rsid w:val="00815177"/>
    <w:rsid w:val="0084273F"/>
    <w:rsid w:val="0086723E"/>
    <w:rsid w:val="00882589"/>
    <w:rsid w:val="0089431B"/>
    <w:rsid w:val="008F6EF3"/>
    <w:rsid w:val="00B05ED8"/>
    <w:rsid w:val="00C0797D"/>
    <w:rsid w:val="00C75409"/>
    <w:rsid w:val="00DD3131"/>
    <w:rsid w:val="00E1701C"/>
    <w:rsid w:val="00E4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D59E5"/>
  <w15:chartTrackingRefBased/>
  <w15:docId w15:val="{CB8071D7-2F21-480A-9836-8E57BCB6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7272"/>
    <w:rPr>
      <w:color w:val="0000FF"/>
      <w:u w:val="single"/>
    </w:rPr>
  </w:style>
  <w:style w:type="character" w:styleId="FollowedHyperlink">
    <w:name w:val="FollowedHyperlink"/>
    <w:basedOn w:val="DefaultParagraphFont"/>
    <w:uiPriority w:val="99"/>
    <w:semiHidden/>
    <w:unhideWhenUsed/>
    <w:rsid w:val="002264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care.wales/?s=inspection" TargetMode="External"/><Relationship Id="rId3" Type="http://schemas.openxmlformats.org/officeDocument/2006/relationships/webSettings" Target="webSettings.xml"/><Relationship Id="rId7" Type="http://schemas.openxmlformats.org/officeDocument/2006/relationships/hyperlink" Target="https://socialcare.wales/search?search=insp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cialcare.wales/resources-guidance/improving-care-and-support/people-with-dementia/understanding-language-needs" TargetMode="External"/><Relationship Id="rId5" Type="http://schemas.openxmlformats.org/officeDocument/2006/relationships/hyperlink" Target="https://wecare.wales/morethanjustwords/" TargetMode="External"/><Relationship Id="rId10" Type="http://schemas.openxmlformats.org/officeDocument/2006/relationships/theme" Target="theme/theme1.xml"/><Relationship Id="rId4" Type="http://schemas.openxmlformats.org/officeDocument/2006/relationships/hyperlink" Target="https://resource.download.wjec.co.uk/vtc/2018-19/HSC18-19_2-2/_multi-lang/unit08/4-active-offer.htm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WJEC</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Allcroft, Susanne</dc:creator>
  <cp:keywords/>
  <dc:description/>
  <cp:lastModifiedBy>Allcroft, Susanne</cp:lastModifiedBy>
  <cp:revision>7</cp:revision>
  <dcterms:created xsi:type="dcterms:W3CDTF">2024-02-05T09:14:00Z</dcterms:created>
  <dcterms:modified xsi:type="dcterms:W3CDTF">2024-02-07T10:06:00Z</dcterms:modified>
</cp:coreProperties>
</file>