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A4255" w14:textId="4692E3E1" w:rsidR="007E5C45" w:rsidRPr="0054401D" w:rsidRDefault="00D11BC5" w:rsidP="00D86681">
      <w:pPr>
        <w:jc w:val="center"/>
        <w:rPr>
          <w:b/>
          <w:bCs/>
          <w:lang w:val="en-US"/>
        </w:rPr>
      </w:pPr>
      <w:r w:rsidRPr="0054401D">
        <w:rPr>
          <w:b/>
          <w:bCs/>
          <w:lang w:val="en-US"/>
        </w:rPr>
        <w:t>Questions and Answers</w:t>
      </w:r>
    </w:p>
    <w:p w14:paraId="1B9BD1A8" w14:textId="673545EF" w:rsidR="00D11BC5" w:rsidRPr="0054401D" w:rsidRDefault="00D11BC5" w:rsidP="00D86681">
      <w:pPr>
        <w:jc w:val="center"/>
        <w:rPr>
          <w:b/>
          <w:bCs/>
          <w:lang w:val="en-US"/>
        </w:rPr>
      </w:pPr>
      <w:r w:rsidRPr="0054401D">
        <w:rPr>
          <w:b/>
          <w:bCs/>
          <w:lang w:val="en-US"/>
        </w:rPr>
        <w:t>Level 3 Professional Learning Event – Winter 2024</w:t>
      </w:r>
    </w:p>
    <w:p w14:paraId="0E134C14" w14:textId="2C1077C3" w:rsidR="00D11BC5" w:rsidRDefault="0054401D">
      <w:pPr>
        <w:rPr>
          <w:b/>
          <w:bCs/>
          <w:lang w:val="en-US"/>
        </w:rPr>
      </w:pPr>
      <w:r w:rsidRPr="0054401D">
        <w:rPr>
          <w:b/>
          <w:bCs/>
          <w:lang w:val="en-US"/>
        </w:rPr>
        <w:t>What happens if candidates exceed the word count on NEAs?</w:t>
      </w:r>
    </w:p>
    <w:p w14:paraId="1881FB54" w14:textId="77506DDA" w:rsidR="00175245" w:rsidRPr="00175245" w:rsidRDefault="00175245">
      <w:pPr>
        <w:rPr>
          <w:lang w:val="en-US"/>
        </w:rPr>
      </w:pPr>
      <w:r w:rsidRPr="00175245">
        <w:rPr>
          <w:lang w:val="en-US"/>
        </w:rPr>
        <w:t xml:space="preserve">There is a 10% tolerance on word counts within which candidates should make every effort to remain. Where word counts have been greatly exceeded, </w:t>
      </w:r>
      <w:r>
        <w:rPr>
          <w:lang w:val="en-US"/>
        </w:rPr>
        <w:t>t</w:t>
      </w:r>
      <w:r>
        <w:rPr>
          <w:lang w:val="en-US"/>
        </w:rPr>
        <w:t>eachers should continue to mark work</w:t>
      </w:r>
      <w:r>
        <w:rPr>
          <w:lang w:val="en-US"/>
        </w:rPr>
        <w:t xml:space="preserve"> and</w:t>
      </w:r>
      <w:r w:rsidRPr="00175245">
        <w:rPr>
          <w:lang w:val="en-US"/>
        </w:rPr>
        <w:t xml:space="preserve"> moderators will make recommendations to centres to address this for the following year.</w:t>
      </w:r>
      <w:r>
        <w:rPr>
          <w:lang w:val="en-US"/>
        </w:rPr>
        <w:t xml:space="preserve"> </w:t>
      </w:r>
    </w:p>
    <w:p w14:paraId="0B6E4EA8" w14:textId="43E52851" w:rsidR="00D86681" w:rsidRDefault="00D86681">
      <w:pPr>
        <w:rPr>
          <w:b/>
          <w:bCs/>
          <w:lang w:val="en-US"/>
        </w:rPr>
      </w:pPr>
      <w:r>
        <w:rPr>
          <w:b/>
          <w:bCs/>
          <w:lang w:val="en-US"/>
        </w:rPr>
        <w:t>When students re-sit an NEA, do they have to use a different case study?</w:t>
      </w:r>
    </w:p>
    <w:p w14:paraId="7E4CF1F3" w14:textId="45A79C7F" w:rsidR="00D86681" w:rsidRDefault="00D86681">
      <w:pPr>
        <w:rPr>
          <w:lang w:val="en-US"/>
        </w:rPr>
      </w:pPr>
      <w:r>
        <w:rPr>
          <w:lang w:val="en-US"/>
        </w:rPr>
        <w:t>Candidates cannot re-sit the NEAs using the same case study twice. For re-sits, candidates should use a different case study to avoid work being added to or tweaked.</w:t>
      </w:r>
    </w:p>
    <w:p w14:paraId="01D8F9AE" w14:textId="1A153FA6" w:rsidR="00D86681" w:rsidRDefault="00D86681">
      <w:pPr>
        <w:rPr>
          <w:b/>
          <w:bCs/>
          <w:lang w:val="en-US"/>
        </w:rPr>
      </w:pPr>
      <w:r w:rsidRPr="00D86681">
        <w:rPr>
          <w:b/>
          <w:bCs/>
          <w:lang w:val="en-US"/>
        </w:rPr>
        <w:t>Resources</w:t>
      </w:r>
    </w:p>
    <w:p w14:paraId="609AF722" w14:textId="2314DD99" w:rsidR="00175245" w:rsidRPr="00175245" w:rsidRDefault="00175245">
      <w:pPr>
        <w:rPr>
          <w:lang w:val="en-US"/>
        </w:rPr>
      </w:pPr>
      <w:r w:rsidRPr="00175245">
        <w:rPr>
          <w:lang w:val="en-US"/>
        </w:rPr>
        <w:t>There are currently a range of resources being developed to support this qualification. Further resources relating to candidates’ work in both the examination units and the NEAs will be available following submission in the summer.</w:t>
      </w:r>
    </w:p>
    <w:p w14:paraId="40BC369E" w14:textId="3073D602" w:rsidR="00D81E1E" w:rsidRDefault="00D81E1E">
      <w:pPr>
        <w:rPr>
          <w:b/>
          <w:bCs/>
          <w:lang w:val="en-US"/>
        </w:rPr>
      </w:pPr>
      <w:r>
        <w:rPr>
          <w:b/>
          <w:bCs/>
          <w:lang w:val="en-US"/>
        </w:rPr>
        <w:t>Which briefs remain the same each year?</w:t>
      </w:r>
    </w:p>
    <w:p w14:paraId="1BE04777" w14:textId="6B7ECA0F" w:rsidR="00D81E1E" w:rsidRPr="0021523E" w:rsidRDefault="00D81E1E">
      <w:pPr>
        <w:rPr>
          <w:rFonts w:cstheme="minorHAnsi"/>
          <w:lang w:val="en-US"/>
        </w:rPr>
      </w:pPr>
      <w:r w:rsidRPr="0021523E">
        <w:rPr>
          <w:rFonts w:cstheme="minorHAnsi"/>
          <w:lang w:val="en-US"/>
        </w:rPr>
        <w:t xml:space="preserve">The briefs for Units 3, 6 and 9 remain </w:t>
      </w:r>
      <w:r w:rsidR="0021523E">
        <w:rPr>
          <w:rFonts w:cstheme="minorHAnsi"/>
          <w:lang w:val="en-US"/>
        </w:rPr>
        <w:t>static</w:t>
      </w:r>
      <w:r w:rsidRPr="0021523E">
        <w:rPr>
          <w:rFonts w:cstheme="minorHAnsi"/>
          <w:lang w:val="en-US"/>
        </w:rPr>
        <w:t xml:space="preserve"> for the lifetime of the spe</w:t>
      </w:r>
      <w:r w:rsidR="00D30C73" w:rsidRPr="0021523E">
        <w:rPr>
          <w:rFonts w:cstheme="minorHAnsi"/>
          <w:lang w:val="en-US"/>
        </w:rPr>
        <w:t>cification.</w:t>
      </w:r>
    </w:p>
    <w:p w14:paraId="2FB4DA22" w14:textId="70E6F8AF" w:rsidR="0021523E" w:rsidRPr="0021523E" w:rsidRDefault="0021523E" w:rsidP="0021523E">
      <w:pPr>
        <w:shd w:val="clear" w:color="auto" w:fill="FFFFFF"/>
        <w:spacing w:after="0" w:line="240" w:lineRule="auto"/>
        <w:textAlignment w:val="baseline"/>
        <w:rPr>
          <w:rFonts w:eastAsia="Times New Roman" w:cstheme="minorHAnsi"/>
          <w:color w:val="000000"/>
          <w:kern w:val="0"/>
          <w:lang w:eastAsia="en-GB"/>
          <w14:ligatures w14:val="none"/>
        </w:rPr>
      </w:pPr>
      <w:r w:rsidRPr="0021523E">
        <w:rPr>
          <w:rFonts w:eastAsia="Times New Roman" w:cstheme="minorHAnsi"/>
          <w:color w:val="000000"/>
          <w:kern w:val="0"/>
          <w:lang w:eastAsia="en-GB"/>
          <w14:ligatures w14:val="none"/>
        </w:rPr>
        <w:t>Centres should</w:t>
      </w:r>
      <w:r w:rsidRPr="0021523E">
        <w:rPr>
          <w:rFonts w:eastAsia="Times New Roman" w:cstheme="minorHAnsi"/>
          <w:color w:val="000000"/>
          <w:kern w:val="0"/>
          <w:lang w:eastAsia="en-GB"/>
          <w14:ligatures w14:val="none"/>
        </w:rPr>
        <w:t xml:space="preserve"> use the SAM</w:t>
      </w:r>
      <w:r w:rsidRPr="0021523E">
        <w:rPr>
          <w:rFonts w:eastAsia="Times New Roman" w:cstheme="minorHAnsi"/>
          <w:color w:val="000000"/>
          <w:kern w:val="0"/>
          <w:lang w:eastAsia="en-GB"/>
          <w14:ligatures w14:val="none"/>
        </w:rPr>
        <w:t>s</w:t>
      </w:r>
      <w:r w:rsidRPr="0021523E">
        <w:rPr>
          <w:rFonts w:eastAsia="Times New Roman" w:cstheme="minorHAnsi"/>
          <w:color w:val="000000"/>
          <w:kern w:val="0"/>
          <w:lang w:eastAsia="en-GB"/>
          <w14:ligatures w14:val="none"/>
        </w:rPr>
        <w:t xml:space="preserve"> from the Health and Care Learning Wales website as the assignment</w:t>
      </w:r>
      <w:r>
        <w:rPr>
          <w:rFonts w:eastAsia="Times New Roman" w:cstheme="minorHAnsi"/>
          <w:color w:val="000000"/>
          <w:kern w:val="0"/>
          <w:lang w:eastAsia="en-GB"/>
          <w14:ligatures w14:val="none"/>
        </w:rPr>
        <w:t>s</w:t>
      </w:r>
      <w:r w:rsidRPr="0021523E">
        <w:rPr>
          <w:rFonts w:eastAsia="Times New Roman" w:cstheme="minorHAnsi"/>
          <w:color w:val="000000"/>
          <w:kern w:val="0"/>
          <w:lang w:eastAsia="en-GB"/>
          <w14:ligatures w14:val="none"/>
        </w:rPr>
        <w:t xml:space="preserve"> </w:t>
      </w:r>
      <w:r>
        <w:rPr>
          <w:rFonts w:eastAsia="Times New Roman" w:cstheme="minorHAnsi"/>
          <w:color w:val="000000"/>
          <w:kern w:val="0"/>
          <w:lang w:eastAsia="en-GB"/>
          <w14:ligatures w14:val="none"/>
        </w:rPr>
        <w:t>will not change</w:t>
      </w:r>
      <w:r w:rsidRPr="0021523E">
        <w:rPr>
          <w:rFonts w:eastAsia="Times New Roman" w:cstheme="minorHAnsi"/>
          <w:color w:val="000000"/>
          <w:kern w:val="0"/>
          <w:lang w:eastAsia="en-GB"/>
          <w14:ligatures w14:val="none"/>
        </w:rPr>
        <w:t xml:space="preserve"> throughout the life of the qualification</w:t>
      </w:r>
      <w:r w:rsidRPr="0021523E">
        <w:rPr>
          <w:rFonts w:eastAsia="Times New Roman" w:cstheme="minorHAnsi"/>
          <w:color w:val="000000"/>
          <w:kern w:val="0"/>
          <w:lang w:eastAsia="en-GB"/>
          <w14:ligatures w14:val="none"/>
        </w:rPr>
        <w:t>.</w:t>
      </w:r>
    </w:p>
    <w:p w14:paraId="6585FF37" w14:textId="105C05BA" w:rsidR="0021523E" w:rsidRPr="0021523E" w:rsidRDefault="0021523E" w:rsidP="0021523E">
      <w:pPr>
        <w:shd w:val="clear" w:color="auto" w:fill="FFFFFF"/>
        <w:spacing w:after="0" w:line="240" w:lineRule="auto"/>
        <w:textAlignment w:val="baseline"/>
        <w:rPr>
          <w:rFonts w:eastAsia="Times New Roman" w:cstheme="minorHAnsi"/>
          <w:color w:val="000000"/>
          <w:kern w:val="0"/>
          <w:lang w:eastAsia="en-GB"/>
          <w14:ligatures w14:val="none"/>
        </w:rPr>
      </w:pPr>
      <w:r w:rsidRPr="0021523E">
        <w:rPr>
          <w:rFonts w:eastAsia="Times New Roman" w:cstheme="minorHAnsi"/>
          <w:color w:val="000000"/>
          <w:kern w:val="0"/>
          <w:lang w:eastAsia="en-GB"/>
          <w14:ligatures w14:val="none"/>
        </w:rPr>
        <w:t xml:space="preserve">For </w:t>
      </w:r>
      <w:r w:rsidRPr="0021523E">
        <w:rPr>
          <w:rFonts w:eastAsia="Times New Roman" w:cstheme="minorHAnsi"/>
          <w:b/>
          <w:bCs/>
          <w:color w:val="000000"/>
          <w:kern w:val="0"/>
          <w:lang w:eastAsia="en-GB"/>
          <w14:ligatures w14:val="none"/>
        </w:rPr>
        <w:t>Unit 3</w:t>
      </w:r>
      <w:r w:rsidRPr="0021523E">
        <w:rPr>
          <w:rFonts w:eastAsia="Times New Roman" w:cstheme="minorHAnsi"/>
          <w:color w:val="000000"/>
          <w:kern w:val="0"/>
          <w:lang w:eastAsia="en-GB"/>
          <w14:ligatures w14:val="none"/>
        </w:rPr>
        <w:t xml:space="preserve">, </w:t>
      </w:r>
      <w:r w:rsidRPr="0021523E">
        <w:rPr>
          <w:rFonts w:eastAsia="Times New Roman" w:cstheme="minorHAnsi"/>
          <w:color w:val="000000"/>
          <w:kern w:val="0"/>
          <w:lang w:eastAsia="en-GB"/>
          <w14:ligatures w14:val="none"/>
        </w:rPr>
        <w:t xml:space="preserve">learners can choose from the list of groups on the SAM although they are not restricted to this list. </w:t>
      </w:r>
    </w:p>
    <w:p w14:paraId="609CC48F" w14:textId="77777777" w:rsidR="0021523E" w:rsidRPr="0021523E" w:rsidRDefault="0021523E" w:rsidP="0021523E">
      <w:pPr>
        <w:shd w:val="clear" w:color="auto" w:fill="FFFFFF"/>
        <w:spacing w:after="0" w:line="240" w:lineRule="auto"/>
        <w:textAlignment w:val="baseline"/>
        <w:rPr>
          <w:rFonts w:eastAsia="Times New Roman" w:cstheme="minorHAnsi"/>
          <w:color w:val="242424"/>
          <w:kern w:val="0"/>
          <w:lang w:eastAsia="en-GB"/>
          <w14:ligatures w14:val="none"/>
        </w:rPr>
      </w:pPr>
      <w:hyperlink r:id="rId4" w:tgtFrame="_blank" w:history="1">
        <w:r w:rsidRPr="0021523E">
          <w:rPr>
            <w:rFonts w:eastAsia="Times New Roman" w:cstheme="minorHAnsi"/>
            <w:color w:val="0000FF"/>
            <w:kern w:val="0"/>
            <w:u w:val="single"/>
            <w:bdr w:val="none" w:sz="0" w:space="0" w:color="auto" w:frame="1"/>
            <w:lang w:eastAsia="en-GB"/>
            <w14:ligatures w14:val="none"/>
          </w:rPr>
          <w:t>l3-hsc-pc-ext-dip-unit-3-abridged-sams-e-050124.pdf (healthandcarelearning.wales)</w:t>
        </w:r>
      </w:hyperlink>
    </w:p>
    <w:p w14:paraId="218969F1" w14:textId="77777777" w:rsidR="0021523E" w:rsidRDefault="0021523E">
      <w:pPr>
        <w:rPr>
          <w:rFonts w:cstheme="minorHAnsi"/>
          <w:lang w:val="en-US"/>
        </w:rPr>
      </w:pPr>
    </w:p>
    <w:p w14:paraId="05726E67" w14:textId="7E981608" w:rsidR="0021523E" w:rsidRDefault="0021523E">
      <w:pPr>
        <w:rPr>
          <w:rFonts w:cstheme="minorHAnsi"/>
          <w:lang w:val="en-US"/>
        </w:rPr>
      </w:pPr>
      <w:r>
        <w:rPr>
          <w:rFonts w:cstheme="minorHAnsi"/>
          <w:lang w:val="en-US"/>
        </w:rPr>
        <w:t xml:space="preserve">The </w:t>
      </w:r>
      <w:r w:rsidRPr="0021523E">
        <w:rPr>
          <w:rFonts w:cstheme="minorHAnsi"/>
          <w:b/>
          <w:bCs/>
          <w:lang w:val="en-US"/>
        </w:rPr>
        <w:t>Unit 6</w:t>
      </w:r>
      <w:r>
        <w:rPr>
          <w:rFonts w:cstheme="minorHAnsi"/>
          <w:lang w:val="en-US"/>
        </w:rPr>
        <w:t xml:space="preserve"> task relates to learners’ sector engagement and their focus will be specific to their own setting and sector engagement.</w:t>
      </w:r>
    </w:p>
    <w:p w14:paraId="22954F5E" w14:textId="13E6B416" w:rsidR="0021523E" w:rsidRPr="0021523E" w:rsidRDefault="0021523E">
      <w:pPr>
        <w:rPr>
          <w:rFonts w:cstheme="minorHAnsi"/>
          <w:lang w:val="en-US"/>
        </w:rPr>
      </w:pPr>
      <w:hyperlink r:id="rId5" w:history="1">
        <w:r>
          <w:rPr>
            <w:rStyle w:val="Hyperlink"/>
          </w:rPr>
          <w:t>L3 HSC PC Ext Dip Unit 6 SAMs (healthandcarelearning.wales)</w:t>
        </w:r>
      </w:hyperlink>
    </w:p>
    <w:p w14:paraId="3BEC7E78" w14:textId="01015CE7" w:rsidR="0021523E" w:rsidRDefault="0021523E">
      <w:pPr>
        <w:rPr>
          <w:rFonts w:cstheme="minorHAnsi"/>
          <w:lang w:val="en-US"/>
        </w:rPr>
      </w:pPr>
      <w:r w:rsidRPr="0021523E">
        <w:rPr>
          <w:rFonts w:cstheme="minorHAnsi"/>
          <w:lang w:val="en-US"/>
        </w:rPr>
        <w:t xml:space="preserve">For </w:t>
      </w:r>
      <w:r w:rsidRPr="0021523E">
        <w:rPr>
          <w:rFonts w:cstheme="minorHAnsi"/>
          <w:b/>
          <w:bCs/>
          <w:lang w:val="en-US"/>
        </w:rPr>
        <w:t>Unit 9</w:t>
      </w:r>
      <w:r>
        <w:rPr>
          <w:rFonts w:cstheme="minorHAnsi"/>
          <w:lang w:val="en-US"/>
        </w:rPr>
        <w:t>, learners choose their own contemporary issue to focus their research project on. The requirements of the task stay the same and are found in the SAMs.</w:t>
      </w:r>
    </w:p>
    <w:p w14:paraId="6FB74437" w14:textId="20C9DED3" w:rsidR="0021523E" w:rsidRPr="0021523E" w:rsidRDefault="0021523E">
      <w:pPr>
        <w:rPr>
          <w:rFonts w:cstheme="minorHAnsi"/>
          <w:lang w:val="en-US"/>
        </w:rPr>
      </w:pPr>
      <w:hyperlink r:id="rId6" w:history="1">
        <w:r>
          <w:rPr>
            <w:rStyle w:val="Hyperlink"/>
          </w:rPr>
          <w:t>l3-hsc-pc-ext-dip-unit-9-sams-e-050124.pdf (healthandcarelearning.wales)</w:t>
        </w:r>
      </w:hyperlink>
    </w:p>
    <w:p w14:paraId="2CEFAAD9" w14:textId="4C9B9C02" w:rsidR="00D30C73" w:rsidRPr="0021523E" w:rsidRDefault="0021523E">
      <w:pPr>
        <w:rPr>
          <w:rFonts w:cstheme="minorHAnsi"/>
          <w:lang w:val="en-US"/>
        </w:rPr>
      </w:pPr>
      <w:r w:rsidRPr="0021523E">
        <w:rPr>
          <w:rFonts w:cstheme="minorHAnsi"/>
          <w:lang w:val="en-US"/>
        </w:rPr>
        <w:t xml:space="preserve">For </w:t>
      </w:r>
      <w:r w:rsidR="00D30C73" w:rsidRPr="0021523E">
        <w:rPr>
          <w:rFonts w:cstheme="minorHAnsi"/>
          <w:lang w:val="en-US"/>
        </w:rPr>
        <w:t>Units 1, 3, 5 and 8</w:t>
      </w:r>
      <w:r w:rsidRPr="0021523E">
        <w:rPr>
          <w:rFonts w:cstheme="minorHAnsi"/>
          <w:lang w:val="en-US"/>
        </w:rPr>
        <w:t>, the brief will change yearly and will be published on the portal (secure website).</w:t>
      </w:r>
    </w:p>
    <w:p w14:paraId="3824F933" w14:textId="6EAB67DB" w:rsidR="00D86681" w:rsidRPr="00D81E1E" w:rsidRDefault="00D81E1E">
      <w:pPr>
        <w:rPr>
          <w:b/>
          <w:bCs/>
          <w:lang w:val="en-US"/>
        </w:rPr>
      </w:pPr>
      <w:r w:rsidRPr="00D81E1E">
        <w:rPr>
          <w:b/>
          <w:bCs/>
          <w:lang w:val="en-US"/>
        </w:rPr>
        <w:t xml:space="preserve">What are the NEA conditions for </w:t>
      </w:r>
      <w:r w:rsidR="009E6269" w:rsidRPr="00D81E1E">
        <w:rPr>
          <w:b/>
          <w:bCs/>
          <w:lang w:val="en-US"/>
        </w:rPr>
        <w:t xml:space="preserve">Unit </w:t>
      </w:r>
      <w:r w:rsidRPr="00D81E1E">
        <w:rPr>
          <w:b/>
          <w:bCs/>
          <w:lang w:val="en-US"/>
        </w:rPr>
        <w:t>8?</w:t>
      </w:r>
    </w:p>
    <w:p w14:paraId="1EA59560" w14:textId="2A7481DF" w:rsidR="00D81E1E" w:rsidRPr="00D81E1E" w:rsidRDefault="00D81E1E" w:rsidP="00D81E1E">
      <w:pPr>
        <w:shd w:val="clear" w:color="auto" w:fill="FFFFFF"/>
        <w:spacing w:after="0" w:line="240" w:lineRule="auto"/>
        <w:textAlignment w:val="baseline"/>
        <w:rPr>
          <w:rFonts w:eastAsia="Times New Roman" w:cstheme="minorHAnsi"/>
          <w:color w:val="242424"/>
          <w:kern w:val="0"/>
          <w:lang w:eastAsia="en-GB"/>
          <w14:ligatures w14:val="none"/>
        </w:rPr>
      </w:pPr>
      <w:r w:rsidRPr="00D81E1E">
        <w:rPr>
          <w:rFonts w:eastAsia="Times New Roman" w:cstheme="minorHAnsi"/>
          <w:color w:val="000000"/>
          <w:kern w:val="0"/>
          <w:lang w:eastAsia="en-GB"/>
          <w14:ligatures w14:val="none"/>
        </w:rPr>
        <w:t>For Unit 8, learners should be directly supervised throughout their 15 hours as per the NEA conditions for these tasks. The case study for Summer 2024 is on the secure website</w:t>
      </w:r>
      <w:r>
        <w:rPr>
          <w:rFonts w:eastAsia="Times New Roman" w:cstheme="minorHAnsi"/>
          <w:color w:val="000000"/>
          <w:kern w:val="0"/>
          <w:lang w:eastAsia="en-GB"/>
          <w14:ligatures w14:val="none"/>
        </w:rPr>
        <w:t>, the</w:t>
      </w:r>
      <w:r w:rsidRPr="00D81E1E">
        <w:rPr>
          <w:rFonts w:eastAsia="Times New Roman" w:cstheme="minorHAnsi"/>
          <w:color w:val="000000"/>
          <w:kern w:val="0"/>
          <w:bdr w:val="none" w:sz="0" w:space="0" w:color="auto" w:frame="1"/>
          <w:lang w:eastAsia="en-GB"/>
          <w14:ligatures w14:val="none"/>
        </w:rPr>
        <w:t xml:space="preserve"> case study will change every year although the tasks remain the same.</w:t>
      </w:r>
    </w:p>
    <w:p w14:paraId="5160334E" w14:textId="77777777" w:rsidR="00D81E1E" w:rsidRPr="00D81E1E" w:rsidRDefault="00D81E1E" w:rsidP="00D81E1E">
      <w:pPr>
        <w:shd w:val="clear" w:color="auto" w:fill="FFFFFF"/>
        <w:spacing w:after="0" w:line="240" w:lineRule="auto"/>
        <w:textAlignment w:val="baseline"/>
        <w:rPr>
          <w:rFonts w:eastAsia="Times New Roman" w:cstheme="minorHAnsi"/>
          <w:color w:val="242424"/>
          <w:kern w:val="0"/>
          <w:lang w:eastAsia="en-GB"/>
          <w14:ligatures w14:val="none"/>
        </w:rPr>
      </w:pPr>
      <w:r w:rsidRPr="00D81E1E">
        <w:rPr>
          <w:rFonts w:eastAsia="Times New Roman" w:cstheme="minorHAnsi"/>
          <w:color w:val="000000"/>
          <w:kern w:val="0"/>
          <w:bdr w:val="none" w:sz="0" w:space="0" w:color="auto" w:frame="1"/>
          <w:lang w:eastAsia="en-GB"/>
          <w14:ligatures w14:val="none"/>
        </w:rPr>
        <w:t>Candidates are not permitted to use the internet whilst completing the tasks.</w:t>
      </w:r>
    </w:p>
    <w:p w14:paraId="7650B84C" w14:textId="77777777" w:rsidR="00D81E1E" w:rsidRPr="00D81E1E" w:rsidRDefault="00D81E1E">
      <w:pPr>
        <w:rPr>
          <w:rFonts w:cstheme="minorHAnsi"/>
          <w:lang w:val="en-US"/>
        </w:rPr>
      </w:pPr>
    </w:p>
    <w:p w14:paraId="77401B71" w14:textId="77777777" w:rsidR="00C34AD7" w:rsidRPr="00D86681" w:rsidRDefault="00C34AD7">
      <w:pPr>
        <w:rPr>
          <w:lang w:val="en-US"/>
        </w:rPr>
      </w:pPr>
    </w:p>
    <w:sectPr w:rsidR="00C34AD7" w:rsidRPr="00D866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BC5"/>
    <w:rsid w:val="00175245"/>
    <w:rsid w:val="0021523E"/>
    <w:rsid w:val="0054401D"/>
    <w:rsid w:val="006A2C2D"/>
    <w:rsid w:val="007E5C45"/>
    <w:rsid w:val="009E6269"/>
    <w:rsid w:val="00C34AD7"/>
    <w:rsid w:val="00D11BC5"/>
    <w:rsid w:val="00D30C73"/>
    <w:rsid w:val="00D81E1E"/>
    <w:rsid w:val="00D86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FD59F"/>
  <w15:chartTrackingRefBased/>
  <w15:docId w15:val="{18DBB7AA-C566-490E-A9F6-A909E91FC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1E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781708">
      <w:bodyDiv w:val="1"/>
      <w:marLeft w:val="0"/>
      <w:marRight w:val="0"/>
      <w:marTop w:val="0"/>
      <w:marBottom w:val="0"/>
      <w:divBdr>
        <w:top w:val="none" w:sz="0" w:space="0" w:color="auto"/>
        <w:left w:val="none" w:sz="0" w:space="0" w:color="auto"/>
        <w:bottom w:val="none" w:sz="0" w:space="0" w:color="auto"/>
        <w:right w:val="none" w:sz="0" w:space="0" w:color="auto"/>
      </w:divBdr>
      <w:divsChild>
        <w:div w:id="2009092104">
          <w:marLeft w:val="0"/>
          <w:marRight w:val="0"/>
          <w:marTop w:val="0"/>
          <w:marBottom w:val="0"/>
          <w:divBdr>
            <w:top w:val="none" w:sz="0" w:space="0" w:color="auto"/>
            <w:left w:val="none" w:sz="0" w:space="0" w:color="auto"/>
            <w:bottom w:val="none" w:sz="0" w:space="0" w:color="auto"/>
            <w:right w:val="none" w:sz="0" w:space="0" w:color="auto"/>
          </w:divBdr>
        </w:div>
        <w:div w:id="1745300990">
          <w:marLeft w:val="0"/>
          <w:marRight w:val="0"/>
          <w:marTop w:val="0"/>
          <w:marBottom w:val="0"/>
          <w:divBdr>
            <w:top w:val="none" w:sz="0" w:space="0" w:color="auto"/>
            <w:left w:val="none" w:sz="0" w:space="0" w:color="auto"/>
            <w:bottom w:val="none" w:sz="0" w:space="0" w:color="auto"/>
            <w:right w:val="none" w:sz="0" w:space="0" w:color="auto"/>
          </w:divBdr>
        </w:div>
        <w:div w:id="1859347874">
          <w:marLeft w:val="0"/>
          <w:marRight w:val="0"/>
          <w:marTop w:val="0"/>
          <w:marBottom w:val="0"/>
          <w:divBdr>
            <w:top w:val="none" w:sz="0" w:space="0" w:color="auto"/>
            <w:left w:val="none" w:sz="0" w:space="0" w:color="auto"/>
            <w:bottom w:val="none" w:sz="0" w:space="0" w:color="auto"/>
            <w:right w:val="none" w:sz="0" w:space="0" w:color="auto"/>
          </w:divBdr>
        </w:div>
        <w:div w:id="358749024">
          <w:marLeft w:val="0"/>
          <w:marRight w:val="0"/>
          <w:marTop w:val="0"/>
          <w:marBottom w:val="0"/>
          <w:divBdr>
            <w:top w:val="none" w:sz="0" w:space="0" w:color="auto"/>
            <w:left w:val="none" w:sz="0" w:space="0" w:color="auto"/>
            <w:bottom w:val="none" w:sz="0" w:space="0" w:color="auto"/>
            <w:right w:val="none" w:sz="0" w:space="0" w:color="auto"/>
          </w:divBdr>
        </w:div>
      </w:divsChild>
    </w:div>
    <w:div w:id="1581284910">
      <w:bodyDiv w:val="1"/>
      <w:marLeft w:val="0"/>
      <w:marRight w:val="0"/>
      <w:marTop w:val="0"/>
      <w:marBottom w:val="0"/>
      <w:divBdr>
        <w:top w:val="none" w:sz="0" w:space="0" w:color="auto"/>
        <w:left w:val="none" w:sz="0" w:space="0" w:color="auto"/>
        <w:bottom w:val="none" w:sz="0" w:space="0" w:color="auto"/>
        <w:right w:val="none" w:sz="0" w:space="0" w:color="auto"/>
      </w:divBdr>
      <w:divsChild>
        <w:div w:id="1316840818">
          <w:marLeft w:val="0"/>
          <w:marRight w:val="0"/>
          <w:marTop w:val="0"/>
          <w:marBottom w:val="0"/>
          <w:divBdr>
            <w:top w:val="none" w:sz="0" w:space="0" w:color="auto"/>
            <w:left w:val="none" w:sz="0" w:space="0" w:color="auto"/>
            <w:bottom w:val="none" w:sz="0" w:space="0" w:color="auto"/>
            <w:right w:val="none" w:sz="0" w:space="0" w:color="auto"/>
          </w:divBdr>
        </w:div>
        <w:div w:id="1506435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althandcarelearning.wales/media/cslgtn5c/l3-hsc-pc-ext-dip-unit-9-sams-e-050124.pdf" TargetMode="External"/><Relationship Id="rId5" Type="http://schemas.openxmlformats.org/officeDocument/2006/relationships/hyperlink" Target="https://www.healthandcarelearning.wales/media/rysjhswl/l3-hsc-pc-ext-dip-unit-6-abridged-sams-e-050124.pdf" TargetMode="External"/><Relationship Id="rId4" Type="http://schemas.openxmlformats.org/officeDocument/2006/relationships/hyperlink" Target="https://www.healthandcarelearning.wales/media/mbrhn4mw/l3-hsc-pc-ext-dip-unit-3-abridged-sams-e-0501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WJEC</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Allcroft, Susanne</dc:creator>
  <cp:keywords/>
  <dc:description/>
  <cp:lastModifiedBy>Allcroft, Susanne</cp:lastModifiedBy>
  <cp:revision>5</cp:revision>
  <dcterms:created xsi:type="dcterms:W3CDTF">2024-02-05T09:12:00Z</dcterms:created>
  <dcterms:modified xsi:type="dcterms:W3CDTF">2024-02-08T11:01:00Z</dcterms:modified>
</cp:coreProperties>
</file>